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2D70B3B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90762">
        <w:rPr>
          <w:rFonts w:cs="Arial"/>
          <w:b/>
          <w:szCs w:val="22"/>
        </w:rPr>
        <w:t xml:space="preserve">Komplexní pozemkové úpravy </w:t>
      </w:r>
      <w:r w:rsidR="007819AA">
        <w:rPr>
          <w:rFonts w:cs="Arial"/>
          <w:b/>
          <w:szCs w:val="22"/>
        </w:rPr>
        <w:t>Nedvězí</w:t>
      </w:r>
      <w:r w:rsidR="003A3D18">
        <w:rPr>
          <w:rFonts w:cs="Arial"/>
          <w:b/>
          <w:szCs w:val="22"/>
        </w:rPr>
        <w:t xml:space="preserve"> u Dobrušky</w:t>
      </w:r>
    </w:p>
    <w:p w14:paraId="2DC65BD5" w14:textId="207C360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90762">
        <w:t>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411F3805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271E3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0762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71E3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3D1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19AA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9</cp:revision>
  <cp:lastPrinted>2021-10-05T09:27:00Z</cp:lastPrinted>
  <dcterms:created xsi:type="dcterms:W3CDTF">2021-10-12T08:10:00Z</dcterms:created>
  <dcterms:modified xsi:type="dcterms:W3CDTF">2022-05-17T10:49:00Z</dcterms:modified>
</cp:coreProperties>
</file>